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2BA1" w14:textId="77777777" w:rsidR="005823D1" w:rsidRPr="00B87E0D" w:rsidRDefault="005823D1" w:rsidP="005823D1">
      <w:pPr>
        <w:pStyle w:val="Heading1"/>
        <w:tabs>
          <w:tab w:val="left" w:pos="4095"/>
        </w:tabs>
        <w:ind w:left="-1418"/>
        <w:rPr>
          <w:rFonts w:asciiTheme="minorHAnsi" w:hAnsiTheme="minorHAnsi" w:cstheme="minorHAnsi"/>
          <w:sz w:val="24"/>
          <w:szCs w:val="24"/>
        </w:rPr>
      </w:pPr>
      <w:bookmarkStart w:id="0" w:name="_Toc510585233"/>
    </w:p>
    <w:bookmarkEnd w:id="0"/>
    <w:p w14:paraId="73109EA5" w14:textId="77777777" w:rsidR="00717759" w:rsidRPr="00B87E0D" w:rsidRDefault="00717759" w:rsidP="00717759">
      <w:pPr>
        <w:pStyle w:val="Heading1"/>
        <w:rPr>
          <w:rFonts w:asciiTheme="minorHAnsi" w:eastAsia="SimSun" w:hAnsiTheme="minorHAnsi" w:cstheme="minorHAnsi"/>
          <w:sz w:val="24"/>
          <w:szCs w:val="24"/>
          <w:lang w:val="en" w:eastAsia="en-AU"/>
        </w:rPr>
      </w:pPr>
      <w:r w:rsidRPr="00B87E0D">
        <w:rPr>
          <w:rFonts w:asciiTheme="minorHAnsi" w:eastAsia="SimSun" w:hAnsiTheme="minorHAnsi" w:cstheme="minorHAnsi"/>
          <w:sz w:val="24"/>
          <w:szCs w:val="24"/>
          <w:lang w:val="en" w:eastAsia="en-AU"/>
        </w:rPr>
        <w:t>Area L19-2</w:t>
      </w:r>
    </w:p>
    <w:p w14:paraId="5FA31401" w14:textId="77777777" w:rsidR="00717759" w:rsidRPr="00B87E0D" w:rsidRDefault="00717759" w:rsidP="00717759">
      <w:pPr>
        <w:pStyle w:val="Heading2"/>
        <w:rPr>
          <w:rFonts w:asciiTheme="minorHAnsi" w:hAnsiTheme="minorHAnsi" w:cstheme="minorHAnsi"/>
          <w:sz w:val="24"/>
          <w:szCs w:val="24"/>
          <w:lang w:val="en" w:eastAsia="en-AU"/>
        </w:rPr>
      </w:pPr>
      <w:r w:rsidRPr="00B87E0D">
        <w:rPr>
          <w:rFonts w:asciiTheme="minorHAnsi" w:hAnsiTheme="minorHAnsi" w:cstheme="minorHAnsi"/>
          <w:sz w:val="24"/>
          <w:szCs w:val="24"/>
          <w:lang w:val="en" w:eastAsia="en-AU"/>
        </w:rPr>
        <w:t>Release Summary</w:t>
      </w:r>
    </w:p>
    <w:p w14:paraId="0E435224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b/>
          <w:lang w:val="en" w:eastAsia="en-AU"/>
        </w:rPr>
        <w:t>Petroleum Acreage Release 1 of 2019 – Area L19-2</w:t>
      </w:r>
    </w:p>
    <w:p w14:paraId="47B2F882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b/>
          <w:lang w:val="en" w:eastAsia="en-AU"/>
        </w:rPr>
        <w:t>Released:</w:t>
      </w:r>
      <w:r w:rsidRPr="00B87E0D">
        <w:rPr>
          <w:rFonts w:cstheme="minorHAnsi"/>
          <w:lang w:val="en" w:eastAsia="en-AU"/>
        </w:rPr>
        <w:t xml:space="preserve"> Tuesday 10 December 2019</w:t>
      </w:r>
    </w:p>
    <w:p w14:paraId="37F46D5E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b/>
          <w:lang w:val="en" w:eastAsia="en-AU"/>
        </w:rPr>
        <w:t>Closed:</w:t>
      </w:r>
      <w:r w:rsidRPr="00B87E0D">
        <w:rPr>
          <w:rFonts w:cstheme="minorHAnsi"/>
          <w:lang w:val="en" w:eastAsia="en-AU"/>
        </w:rPr>
        <w:t xml:space="preserve"> Thursday 9 April 2020</w:t>
      </w:r>
    </w:p>
    <w:p w14:paraId="37147655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b/>
          <w:lang w:val="en" w:eastAsia="en-AU"/>
        </w:rPr>
        <w:t>Areas available:</w:t>
      </w:r>
      <w:r w:rsidRPr="00B87E0D">
        <w:rPr>
          <w:rFonts w:cstheme="minorHAnsi"/>
          <w:lang w:val="en" w:eastAsia="en-AU"/>
        </w:rPr>
        <w:t xml:space="preserve"> </w:t>
      </w:r>
      <w:r w:rsidRPr="00B87E0D">
        <w:rPr>
          <w:rFonts w:cstheme="minorHAnsi"/>
          <w:i/>
          <w:lang w:val="en" w:eastAsia="en-AU"/>
        </w:rPr>
        <w:t>Petroleum and Geothermal Energy Resources Act 1967</w:t>
      </w:r>
    </w:p>
    <w:p w14:paraId="270C63C9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b/>
          <w:lang w:val="en" w:eastAsia="en-AU"/>
        </w:rPr>
        <w:t>Area:</w:t>
      </w:r>
      <w:r w:rsidRPr="00B87E0D">
        <w:rPr>
          <w:rFonts w:cstheme="minorHAnsi"/>
          <w:lang w:val="en" w:eastAsia="en-AU"/>
        </w:rPr>
        <w:t xml:space="preserve"> L19-2</w:t>
      </w:r>
    </w:p>
    <w:p w14:paraId="215CE5BF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b/>
          <w:lang w:val="en" w:eastAsia="en-AU"/>
        </w:rPr>
        <w:t>Graticular blocks:</w:t>
      </w:r>
    </w:p>
    <w:p w14:paraId="03E68E0F" w14:textId="77777777" w:rsidR="00717759" w:rsidRPr="00B87E0D" w:rsidRDefault="00717759" w:rsidP="00717759">
      <w:pPr>
        <w:keepNext/>
        <w:widowControl w:val="0"/>
        <w:tabs>
          <w:tab w:val="left" w:pos="567"/>
        </w:tabs>
        <w:spacing w:after="120" w:line="240" w:lineRule="auto"/>
        <w:jc w:val="both"/>
        <w:rPr>
          <w:rFonts w:cstheme="minorHAnsi"/>
          <w:bCs/>
          <w:lang w:val="en" w:eastAsia="en-AU"/>
        </w:rPr>
      </w:pPr>
      <w:r w:rsidRPr="00B87E0D">
        <w:rPr>
          <w:rFonts w:cstheme="minorHAnsi"/>
          <w:bCs/>
          <w:lang w:val="en" w:eastAsia="en-AU"/>
        </w:rPr>
        <w:t xml:space="preserve">1:1,000,000 </w:t>
      </w:r>
      <w:r w:rsidRPr="00B87E0D">
        <w:rPr>
          <w:rFonts w:cstheme="minorHAnsi"/>
          <w:lang w:val="en" w:eastAsia="en-AU"/>
        </w:rPr>
        <w:t xml:space="preserve">Hamersley Range </w:t>
      </w:r>
      <w:r w:rsidRPr="00B87E0D">
        <w:rPr>
          <w:rFonts w:cstheme="minorHAnsi"/>
          <w:bCs/>
          <w:lang w:val="en" w:eastAsia="en-AU"/>
        </w:rPr>
        <w:t>Map Sheet (SF50)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717759" w:rsidRPr="00B87E0D" w14:paraId="59508DD5" w14:textId="77777777" w:rsidTr="00B3137E">
        <w:trPr>
          <w:trHeight w:val="340"/>
          <w:jc w:val="center"/>
        </w:trPr>
        <w:tc>
          <w:tcPr>
            <w:tcW w:w="1701" w:type="dxa"/>
            <w:vAlign w:val="center"/>
          </w:tcPr>
          <w:p w14:paraId="3EE4755E" w14:textId="77777777" w:rsidR="00717759" w:rsidRPr="00B87E0D" w:rsidRDefault="00717759" w:rsidP="00717759">
            <w:pPr>
              <w:widowControl w:val="0"/>
              <w:spacing w:after="120" w:line="360" w:lineRule="auto"/>
              <w:jc w:val="center"/>
              <w:rPr>
                <w:rFonts w:cstheme="minorHAnsi"/>
                <w:b/>
                <w:lang w:val="en" w:eastAsia="en-AU"/>
              </w:rPr>
            </w:pPr>
            <w:r w:rsidRPr="00B87E0D">
              <w:rPr>
                <w:rFonts w:cstheme="minorHAnsi"/>
                <w:b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5D777F86" w14:textId="77777777" w:rsidR="00717759" w:rsidRPr="00B87E0D" w:rsidRDefault="00717759" w:rsidP="00717759">
            <w:pPr>
              <w:widowControl w:val="0"/>
              <w:spacing w:after="120" w:line="360" w:lineRule="auto"/>
              <w:jc w:val="center"/>
              <w:rPr>
                <w:rFonts w:cstheme="minorHAnsi"/>
                <w:b/>
                <w:lang w:val="en" w:eastAsia="en-AU"/>
              </w:rPr>
            </w:pPr>
            <w:r w:rsidRPr="00B87E0D">
              <w:rPr>
                <w:rFonts w:cstheme="minorHAnsi"/>
                <w:b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4C64127E" w14:textId="77777777" w:rsidR="00717759" w:rsidRPr="00B87E0D" w:rsidRDefault="00717759" w:rsidP="00717759">
            <w:pPr>
              <w:widowControl w:val="0"/>
              <w:spacing w:after="120" w:line="360" w:lineRule="auto"/>
              <w:jc w:val="center"/>
              <w:rPr>
                <w:rFonts w:cstheme="minorHAnsi"/>
                <w:b/>
                <w:lang w:val="en" w:eastAsia="en-AU"/>
              </w:rPr>
            </w:pPr>
            <w:r w:rsidRPr="00B87E0D">
              <w:rPr>
                <w:rFonts w:cstheme="minorHAnsi"/>
                <w:b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36264B4F" w14:textId="77777777" w:rsidR="00717759" w:rsidRPr="00B87E0D" w:rsidRDefault="00717759" w:rsidP="00717759">
            <w:pPr>
              <w:widowControl w:val="0"/>
              <w:spacing w:after="120" w:line="360" w:lineRule="auto"/>
              <w:jc w:val="center"/>
              <w:rPr>
                <w:rFonts w:cstheme="minorHAnsi"/>
                <w:b/>
                <w:lang w:val="en" w:eastAsia="en-AU"/>
              </w:rPr>
            </w:pPr>
            <w:r w:rsidRPr="00B87E0D">
              <w:rPr>
                <w:rFonts w:cstheme="minorHAnsi"/>
                <w:b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7623DFE0" w14:textId="77777777" w:rsidR="00717759" w:rsidRPr="00B87E0D" w:rsidRDefault="00717759" w:rsidP="00717759">
            <w:pPr>
              <w:widowControl w:val="0"/>
              <w:spacing w:after="120" w:line="36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b/>
                <w:lang w:val="en" w:eastAsia="en-AU"/>
              </w:rPr>
              <w:t>Block No</w:t>
            </w:r>
          </w:p>
        </w:tc>
      </w:tr>
      <w:tr w:rsidR="00717759" w:rsidRPr="00B87E0D" w14:paraId="3FD97C23" w14:textId="77777777" w:rsidTr="00B3137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25E0F28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81EC9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1FA23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5D785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9FC1B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5884</w:t>
            </w:r>
          </w:p>
        </w:tc>
      </w:tr>
      <w:tr w:rsidR="00717759" w:rsidRPr="00B87E0D" w14:paraId="36FD173B" w14:textId="77777777" w:rsidTr="00B3137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57C2CE0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23EE7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5886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4003B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5953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9A8E1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0AA97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5955</w:t>
            </w:r>
          </w:p>
        </w:tc>
      </w:tr>
      <w:tr w:rsidR="00717759" w:rsidRPr="00B87E0D" w14:paraId="47D14866" w14:textId="77777777" w:rsidTr="00B3137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6710B00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FCD4C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5957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3D5B2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5958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9D586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13093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6026</w:t>
            </w:r>
          </w:p>
        </w:tc>
      </w:tr>
      <w:tr w:rsidR="00717759" w:rsidRPr="00B87E0D" w14:paraId="22EBC514" w14:textId="77777777" w:rsidTr="00B3137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2D35875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54D75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949E3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44EC7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EDC72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6098</w:t>
            </w:r>
          </w:p>
        </w:tc>
      </w:tr>
      <w:tr w:rsidR="00717759" w:rsidRPr="00B87E0D" w14:paraId="6E6F0FF7" w14:textId="77777777" w:rsidTr="00B3137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9F45B91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  <w:r w:rsidRPr="00B87E0D">
              <w:rPr>
                <w:rFonts w:cstheme="minorHAnsi"/>
                <w:lang w:val="en" w:eastAsia="en-AU"/>
              </w:rPr>
              <w:t>6099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9B892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A8C48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49ECA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8C964F" w14:textId="77777777" w:rsidR="00717759" w:rsidRPr="00B87E0D" w:rsidRDefault="00717759" w:rsidP="00717759">
            <w:pPr>
              <w:widowControl w:val="0"/>
              <w:spacing w:after="120" w:line="240" w:lineRule="auto"/>
              <w:jc w:val="center"/>
              <w:rPr>
                <w:rFonts w:cstheme="minorHAnsi"/>
                <w:lang w:val="en" w:eastAsia="en-AU"/>
              </w:rPr>
            </w:pPr>
          </w:p>
        </w:tc>
      </w:tr>
    </w:tbl>
    <w:p w14:paraId="35C46A92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/>
        </w:rPr>
      </w:pPr>
      <w:r w:rsidRPr="00B87E0D">
        <w:rPr>
          <w:rFonts w:cstheme="minorHAnsi"/>
          <w:b/>
          <w:bCs/>
          <w:lang w:val="en" w:eastAsia="en-AU"/>
        </w:rPr>
        <w:t>Contains 21 blocks</w:t>
      </w:r>
      <w:r w:rsidRPr="00B87E0D">
        <w:rPr>
          <w:rFonts w:cstheme="minorHAnsi"/>
          <w:b/>
          <w:lang w:val="en"/>
        </w:rPr>
        <w:t xml:space="preserve"> </w:t>
      </w:r>
      <w:r w:rsidRPr="00B87E0D">
        <w:rPr>
          <w:rFonts w:cstheme="minorHAnsi"/>
          <w:lang w:val="en"/>
        </w:rPr>
        <w:t>to the extent only that the area is within the State as defined in section 26 of the PGERA67.</w:t>
      </w:r>
    </w:p>
    <w:p w14:paraId="4B3935FC" w14:textId="6CB72AA1" w:rsidR="00717759" w:rsidRPr="00B87E0D" w:rsidRDefault="00C733B2" w:rsidP="00B87E0D">
      <w:pPr>
        <w:widowControl w:val="0"/>
        <w:spacing w:after="120" w:line="240" w:lineRule="auto"/>
        <w:jc w:val="center"/>
        <w:rPr>
          <w:rFonts w:cstheme="minorHAnsi"/>
          <w:lang w:val="en"/>
        </w:rPr>
      </w:pPr>
      <w:r w:rsidRPr="00B87E0D">
        <w:rPr>
          <w:rFonts w:cstheme="minorHAnsi"/>
          <w:noProof/>
          <w:lang w:eastAsia="en-AU"/>
        </w:rPr>
        <w:lastRenderedPageBreak/>
        <w:drawing>
          <wp:inline distT="0" distB="0" distL="0" distR="0" wp14:anchorId="49EB5175" wp14:editId="63A0CFCA">
            <wp:extent cx="5791200" cy="847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E14E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/>
        </w:rPr>
      </w:pPr>
    </w:p>
    <w:p w14:paraId="57486898" w14:textId="77777777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/>
        </w:rPr>
      </w:pPr>
    </w:p>
    <w:p w14:paraId="54630350" w14:textId="77777777" w:rsidR="00717759" w:rsidRPr="00B87E0D" w:rsidRDefault="00717759" w:rsidP="00717759">
      <w:pPr>
        <w:pStyle w:val="Heading2"/>
        <w:rPr>
          <w:rFonts w:asciiTheme="minorHAnsi" w:hAnsiTheme="minorHAnsi" w:cstheme="minorHAnsi"/>
          <w:sz w:val="24"/>
          <w:szCs w:val="24"/>
          <w:lang w:val="en" w:eastAsia="en-AU"/>
        </w:rPr>
      </w:pPr>
      <w:r w:rsidRPr="00B87E0D">
        <w:rPr>
          <w:rFonts w:asciiTheme="minorHAnsi" w:hAnsiTheme="minorHAnsi" w:cstheme="minorHAnsi"/>
          <w:sz w:val="24"/>
          <w:szCs w:val="24"/>
          <w:lang w:val="en" w:eastAsia="en-AU"/>
        </w:rPr>
        <w:lastRenderedPageBreak/>
        <w:t xml:space="preserve">Special Notices </w:t>
      </w:r>
    </w:p>
    <w:p w14:paraId="7582EBCD" w14:textId="41AC6EFC" w:rsidR="00717759" w:rsidRPr="00B87E0D" w:rsidRDefault="00717759" w:rsidP="00717759">
      <w:pPr>
        <w:widowControl w:val="0"/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 xml:space="preserve">Applicants should be aware </w:t>
      </w:r>
      <w:r w:rsidR="00A30465" w:rsidRPr="00B87E0D">
        <w:rPr>
          <w:rFonts w:cstheme="minorHAnsi"/>
          <w:lang w:val="en" w:eastAsia="en-AU"/>
        </w:rPr>
        <w:t>of the following special notice</w:t>
      </w:r>
      <w:r w:rsidRPr="00B87E0D">
        <w:rPr>
          <w:rFonts w:cstheme="minorHAnsi"/>
          <w:lang w:val="en" w:eastAsia="en-AU"/>
        </w:rPr>
        <w:t xml:space="preserve"> in relation to Area L19-2:</w:t>
      </w:r>
    </w:p>
    <w:p w14:paraId="3D4660A6" w14:textId="4BCF17A0" w:rsidR="00A30465" w:rsidRPr="00B87E0D" w:rsidRDefault="00A30465" w:rsidP="00A30465">
      <w:pPr>
        <w:pStyle w:val="ListParagraph"/>
        <w:widowControl w:val="0"/>
        <w:numPr>
          <w:ilvl w:val="0"/>
          <w:numId w:val="29"/>
        </w:numPr>
        <w:spacing w:after="120" w:line="240" w:lineRule="auto"/>
        <w:rPr>
          <w:rFonts w:cstheme="minorHAnsi"/>
        </w:rPr>
      </w:pPr>
      <w:r w:rsidRPr="00B87E0D">
        <w:rPr>
          <w:rFonts w:cstheme="minorHAnsi"/>
        </w:rPr>
        <w:t>It is intended that a conditi</w:t>
      </w:r>
      <w:bookmarkStart w:id="1" w:name="_GoBack"/>
      <w:bookmarkEnd w:id="1"/>
      <w:r w:rsidRPr="00B87E0D">
        <w:rPr>
          <w:rFonts w:cstheme="minorHAnsi"/>
        </w:rPr>
        <w:t xml:space="preserve">on under section 91B of the </w:t>
      </w:r>
      <w:r w:rsidRPr="00B87E0D">
        <w:rPr>
          <w:rFonts w:cstheme="minorHAnsi"/>
          <w:i/>
        </w:rPr>
        <w:t>Petroleum and Geothermal Energy Resources Act 1967</w:t>
      </w:r>
      <w:r w:rsidRPr="00B87E0D">
        <w:rPr>
          <w:rFonts w:cstheme="minorHAnsi"/>
        </w:rPr>
        <w:t xml:space="preserve"> will apply any petroleum exploration permit granted in respect of Areas L19-2 prohibiting the holder from entering upon: </w:t>
      </w:r>
    </w:p>
    <w:p w14:paraId="059A93BF" w14:textId="16A6AD7C" w:rsidR="00A30465" w:rsidRPr="00B87E0D" w:rsidRDefault="00A30465" w:rsidP="00A30465">
      <w:pPr>
        <w:pStyle w:val="ListParagraph"/>
        <w:widowControl w:val="0"/>
        <w:numPr>
          <w:ilvl w:val="1"/>
          <w:numId w:val="29"/>
        </w:numPr>
        <w:spacing w:after="120" w:line="240" w:lineRule="auto"/>
        <w:rPr>
          <w:rFonts w:cstheme="minorHAnsi"/>
        </w:rPr>
      </w:pPr>
      <w:r w:rsidRPr="00B87E0D">
        <w:rPr>
          <w:rFonts w:cstheme="minorHAnsi"/>
        </w:rPr>
        <w:t xml:space="preserve">any land, including islands, above the mean low water mark as is included in the permit area; and, </w:t>
      </w:r>
    </w:p>
    <w:p w14:paraId="31EF22FF" w14:textId="0C99DC06" w:rsidR="00A30465" w:rsidRPr="00B87E0D" w:rsidRDefault="00A30465" w:rsidP="00A30465">
      <w:pPr>
        <w:pStyle w:val="ListParagraph"/>
        <w:widowControl w:val="0"/>
        <w:numPr>
          <w:ilvl w:val="1"/>
          <w:numId w:val="29"/>
        </w:numPr>
        <w:spacing w:after="120" w:line="240" w:lineRule="auto"/>
        <w:rPr>
          <w:rFonts w:cstheme="minorHAnsi"/>
        </w:rPr>
      </w:pPr>
      <w:r w:rsidRPr="00B87E0D">
        <w:rPr>
          <w:rFonts w:cstheme="minorHAnsi"/>
        </w:rPr>
        <w:t>Crown reserves R33831 Great Sandy Island Nature Reserve, R44667, and R44668 North Sandy Island Nature Reserve.</w:t>
      </w:r>
    </w:p>
    <w:p w14:paraId="35EA4D75" w14:textId="77777777" w:rsidR="00717759" w:rsidRPr="00B87E0D" w:rsidRDefault="00717759" w:rsidP="00717759">
      <w:pPr>
        <w:pStyle w:val="Heading2"/>
        <w:rPr>
          <w:rFonts w:asciiTheme="minorHAnsi" w:hAnsiTheme="minorHAnsi" w:cstheme="minorHAnsi"/>
          <w:sz w:val="24"/>
          <w:szCs w:val="24"/>
          <w:lang w:val="en" w:eastAsia="en-AU"/>
        </w:rPr>
      </w:pPr>
      <w:r w:rsidRPr="00B87E0D">
        <w:rPr>
          <w:rFonts w:asciiTheme="minorHAnsi" w:hAnsiTheme="minorHAnsi" w:cstheme="minorHAnsi"/>
          <w:sz w:val="24"/>
          <w:szCs w:val="24"/>
          <w:lang w:val="en" w:eastAsia="en-AU"/>
        </w:rPr>
        <w:t>Environmental considerations</w:t>
      </w:r>
    </w:p>
    <w:p w14:paraId="78AA532C" w14:textId="600568CE" w:rsidR="00717759" w:rsidRPr="00B87E0D" w:rsidRDefault="00717759" w:rsidP="00B87E0D">
      <w:pPr>
        <w:widowControl w:val="0"/>
        <w:spacing w:after="120" w:line="240" w:lineRule="auto"/>
        <w:jc w:val="both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Maritime area partially within Barrow Island Marine Management Area (north west blocks). The coastal waters</w:t>
      </w:r>
      <w:r w:rsidR="00194D6C" w:rsidRPr="00B87E0D">
        <w:rPr>
          <w:rFonts w:cstheme="minorHAnsi"/>
          <w:lang w:val="en" w:eastAsia="en-AU"/>
        </w:rPr>
        <w:t xml:space="preserve"> of the Pilbara Region</w:t>
      </w:r>
      <w:r w:rsidRPr="00B87E0D">
        <w:rPr>
          <w:rFonts w:cstheme="minorHAnsi"/>
          <w:lang w:val="en" w:eastAsia="en-AU"/>
        </w:rPr>
        <w:t xml:space="preserve"> support a diverse array of marine life and are also recognised as biologically important areas for a number of protected species. Operational activities</w:t>
      </w:r>
      <w:r w:rsidR="00194D6C" w:rsidRPr="00B87E0D">
        <w:rPr>
          <w:rFonts w:cstheme="minorHAnsi"/>
          <w:lang w:val="en" w:eastAsia="en-AU"/>
        </w:rPr>
        <w:t xml:space="preserve"> may</w:t>
      </w:r>
      <w:r w:rsidRPr="00B87E0D">
        <w:rPr>
          <w:rFonts w:cstheme="minorHAnsi"/>
          <w:lang w:val="en" w:eastAsia="en-AU"/>
        </w:rPr>
        <w:t xml:space="preserve"> require </w:t>
      </w:r>
      <w:r w:rsidR="00194D6C" w:rsidRPr="00B87E0D">
        <w:rPr>
          <w:rFonts w:cstheme="minorHAnsi"/>
          <w:lang w:val="en" w:eastAsia="en-AU"/>
        </w:rPr>
        <w:t>referral to the</w:t>
      </w:r>
      <w:r w:rsidRPr="00B87E0D">
        <w:rPr>
          <w:rFonts w:cstheme="minorHAnsi"/>
          <w:lang w:val="en" w:eastAsia="en-AU"/>
        </w:rPr>
        <w:t xml:space="preserve"> Environmental Protection Authority and</w:t>
      </w:r>
      <w:r w:rsidR="00194D6C" w:rsidRPr="00B87E0D">
        <w:rPr>
          <w:rFonts w:cstheme="minorHAnsi"/>
          <w:lang w:val="en" w:eastAsia="en-AU"/>
        </w:rPr>
        <w:t xml:space="preserve"> consultation with the</w:t>
      </w:r>
      <w:r w:rsidRPr="00B87E0D">
        <w:rPr>
          <w:rFonts w:cstheme="minorHAnsi"/>
          <w:lang w:val="en" w:eastAsia="en-AU"/>
        </w:rPr>
        <w:t xml:space="preserve"> Department of Biodiversity, Conservation and Attractions, and for operational activities that have the potential to impact Commonwealth environmental interests, consultation with </w:t>
      </w:r>
      <w:r w:rsidR="00194D6C" w:rsidRPr="00B87E0D">
        <w:rPr>
          <w:rFonts w:cstheme="minorHAnsi"/>
          <w:lang w:val="en" w:eastAsia="en-AU"/>
        </w:rPr>
        <w:t xml:space="preserve">the </w:t>
      </w:r>
      <w:r w:rsidRPr="00B87E0D">
        <w:rPr>
          <w:rFonts w:cstheme="minorHAnsi"/>
          <w:lang w:val="en" w:eastAsia="en-AU"/>
        </w:rPr>
        <w:t>Department of Environment and Energy (Cth) will be require</w:t>
      </w:r>
      <w:r w:rsidR="0020211F" w:rsidRPr="00B87E0D">
        <w:rPr>
          <w:rFonts w:cstheme="minorHAnsi"/>
          <w:lang w:val="en" w:eastAsia="en-AU"/>
        </w:rPr>
        <w:t>d.</w:t>
      </w:r>
      <w:r w:rsidR="00217729" w:rsidRPr="00B87E0D">
        <w:rPr>
          <w:rFonts w:cstheme="minorHAnsi"/>
          <w:lang w:val="en" w:eastAsia="en-AU"/>
        </w:rPr>
        <w:t xml:space="preserve"> See map provided.</w:t>
      </w:r>
    </w:p>
    <w:p w14:paraId="3945BEBD" w14:textId="77777777" w:rsidR="00717759" w:rsidRPr="00B87E0D" w:rsidRDefault="00717759" w:rsidP="00717759">
      <w:pPr>
        <w:pStyle w:val="Heading2"/>
        <w:rPr>
          <w:rFonts w:asciiTheme="minorHAnsi" w:hAnsiTheme="minorHAnsi" w:cstheme="minorHAnsi"/>
          <w:sz w:val="24"/>
          <w:szCs w:val="24"/>
          <w:lang w:val="en" w:eastAsia="en-AU"/>
        </w:rPr>
      </w:pPr>
      <w:r w:rsidRPr="00B87E0D">
        <w:rPr>
          <w:rFonts w:asciiTheme="minorHAnsi" w:hAnsiTheme="minorHAnsi" w:cstheme="minorHAnsi"/>
          <w:sz w:val="24"/>
          <w:szCs w:val="24"/>
          <w:lang w:val="en" w:eastAsia="en-AU"/>
        </w:rPr>
        <w:t>Available data and maps</w:t>
      </w:r>
    </w:p>
    <w:p w14:paraId="43B326F6" w14:textId="46CF16BA" w:rsidR="00717759" w:rsidRPr="00B87E0D" w:rsidRDefault="00717759" w:rsidP="00717759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color w:val="0000FF"/>
          <w:u w:val="single"/>
          <w:lang w:eastAsia="en-AU"/>
        </w:rPr>
      </w:pPr>
      <w:commentRangeStart w:id="2"/>
      <w:r w:rsidRPr="00B87E0D">
        <w:rPr>
          <w:rFonts w:cstheme="minorHAnsi"/>
          <w:lang w:val="en" w:eastAsia="en-AU"/>
        </w:rPr>
        <w:t>Area L19-2 Map</w:t>
      </w:r>
    </w:p>
    <w:p w14:paraId="65D84B71" w14:textId="77777777" w:rsidR="004F3DF8" w:rsidRPr="00B87E0D" w:rsidRDefault="004F3DF8" w:rsidP="004F3DF8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Area L19-2 Area shapefile</w:t>
      </w:r>
    </w:p>
    <w:p w14:paraId="4AEA7E16" w14:textId="77777777" w:rsidR="00717759" w:rsidRPr="00B87E0D" w:rsidRDefault="00717759" w:rsidP="00717759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Area L19-2 Seismic lines and wells map</w:t>
      </w:r>
    </w:p>
    <w:p w14:paraId="028F2C53" w14:textId="04791661" w:rsidR="004F3DF8" w:rsidRPr="00B87E0D" w:rsidRDefault="004F3DF8" w:rsidP="004F3DF8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2</w:t>
      </w:r>
      <w:r w:rsidR="000828FF" w:rsidRPr="00B87E0D">
        <w:rPr>
          <w:rFonts w:cstheme="minorHAnsi"/>
          <w:lang w:val="en" w:eastAsia="en-AU"/>
        </w:rPr>
        <w:t>D</w:t>
      </w:r>
      <w:r w:rsidRPr="00B87E0D">
        <w:rPr>
          <w:rFonts w:cstheme="minorHAnsi"/>
          <w:lang w:val="en" w:eastAsia="en-AU"/>
        </w:rPr>
        <w:t xml:space="preserve"> Seismic lines</w:t>
      </w:r>
    </w:p>
    <w:p w14:paraId="49A42E2A" w14:textId="61D9CBFB" w:rsidR="004F3DF8" w:rsidRPr="00B87E0D" w:rsidRDefault="004F3DF8" w:rsidP="004F3DF8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3</w:t>
      </w:r>
      <w:r w:rsidR="000828FF" w:rsidRPr="00B87E0D">
        <w:rPr>
          <w:rFonts w:cstheme="minorHAnsi"/>
          <w:lang w:val="en" w:eastAsia="en-AU"/>
        </w:rPr>
        <w:t>D</w:t>
      </w:r>
      <w:r w:rsidRPr="00B87E0D">
        <w:rPr>
          <w:rFonts w:cstheme="minorHAnsi"/>
          <w:lang w:val="en" w:eastAsia="en-AU"/>
        </w:rPr>
        <w:t xml:space="preserve"> Seismic polygons</w:t>
      </w:r>
    </w:p>
    <w:p w14:paraId="3A8BDC13" w14:textId="2C53B4FA" w:rsidR="004F3DF8" w:rsidRPr="00B87E0D" w:rsidRDefault="004F3DF8" w:rsidP="004F3DF8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Aeromag</w:t>
      </w:r>
      <w:r w:rsidR="000828FF" w:rsidRPr="00B87E0D">
        <w:rPr>
          <w:rFonts w:cstheme="minorHAnsi"/>
          <w:lang w:val="en" w:eastAsia="en-AU"/>
        </w:rPr>
        <w:t>netic</w:t>
      </w:r>
      <w:r w:rsidRPr="00B87E0D">
        <w:rPr>
          <w:rFonts w:cstheme="minorHAnsi"/>
          <w:lang w:val="en" w:eastAsia="en-AU"/>
        </w:rPr>
        <w:t xml:space="preserve"> and Gravity surveys</w:t>
      </w:r>
    </w:p>
    <w:p w14:paraId="4BB8F8E0" w14:textId="21C88FF2" w:rsidR="00717759" w:rsidRPr="00B87E0D" w:rsidRDefault="00717759" w:rsidP="00717759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Area L19-2 Data listing</w:t>
      </w:r>
    </w:p>
    <w:p w14:paraId="12307A60" w14:textId="77777777" w:rsidR="00717759" w:rsidRPr="00B87E0D" w:rsidRDefault="00717759" w:rsidP="00717759">
      <w:pPr>
        <w:pStyle w:val="ListParagraph"/>
        <w:widowControl w:val="0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lang w:val="en" w:eastAsia="en-AU"/>
        </w:rPr>
      </w:pPr>
      <w:r w:rsidRPr="00B87E0D">
        <w:rPr>
          <w:rFonts w:cstheme="minorHAnsi"/>
          <w:lang w:val="en" w:eastAsia="en-AU"/>
        </w:rPr>
        <w:t>Order forms for available data</w:t>
      </w:r>
      <w:commentRangeEnd w:id="2"/>
      <w:r w:rsidRPr="00B87E0D">
        <w:rPr>
          <w:rFonts w:cstheme="minorHAnsi"/>
          <w:lang w:val="en" w:eastAsia="en-AU"/>
        </w:rPr>
        <w:commentReference w:id="2"/>
      </w:r>
    </w:p>
    <w:p w14:paraId="4CA7C36F" w14:textId="77777777" w:rsidR="001A4C67" w:rsidRPr="00B87E0D" w:rsidRDefault="001A4C67" w:rsidP="001A4C6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87E0D">
        <w:rPr>
          <w:rFonts w:asciiTheme="minorHAnsi" w:hAnsiTheme="minorHAnsi" w:cstheme="minorHAnsi"/>
          <w:sz w:val="24"/>
          <w:szCs w:val="24"/>
        </w:rPr>
        <w:t>Contact</w:t>
      </w:r>
    </w:p>
    <w:p w14:paraId="5B015C3A" w14:textId="1E395201" w:rsidR="001A4C67" w:rsidRPr="00B87E0D" w:rsidRDefault="001A4C67" w:rsidP="001A4C67">
      <w:pPr>
        <w:rPr>
          <w:rFonts w:cstheme="minorHAnsi"/>
        </w:rPr>
      </w:pPr>
      <w:r w:rsidRPr="00B87E0D">
        <w:rPr>
          <w:rFonts w:cstheme="minorHAnsi"/>
        </w:rPr>
        <w:t xml:space="preserve">For any general enquiries please contact the Resource Tenure </w:t>
      </w:r>
      <w:r w:rsidR="000828FF" w:rsidRPr="00B87E0D">
        <w:rPr>
          <w:rFonts w:cstheme="minorHAnsi"/>
        </w:rPr>
        <w:t>team</w:t>
      </w:r>
    </w:p>
    <w:p w14:paraId="5E3C1448" w14:textId="77777777" w:rsidR="001A4C67" w:rsidRPr="00B87E0D" w:rsidRDefault="001A4C67" w:rsidP="001A4C67">
      <w:pPr>
        <w:rPr>
          <w:rStyle w:val="Hyperlink"/>
          <w:rFonts w:cstheme="minorHAnsi"/>
        </w:rPr>
      </w:pPr>
      <w:r w:rsidRPr="00B87E0D">
        <w:rPr>
          <w:rFonts w:cstheme="minorHAnsi"/>
        </w:rPr>
        <w:t xml:space="preserve">Email: </w:t>
      </w:r>
      <w:hyperlink r:id="rId15" w:history="1">
        <w:r w:rsidRPr="00B87E0D">
          <w:rPr>
            <w:rStyle w:val="Hyperlink"/>
            <w:rFonts w:cstheme="minorHAnsi"/>
          </w:rPr>
          <w:t>petroleum.titles@dmirs.wa.gov.au</w:t>
        </w:r>
      </w:hyperlink>
    </w:p>
    <w:p w14:paraId="41E2E79F" w14:textId="77777777" w:rsidR="001A4C67" w:rsidRPr="00B87E0D" w:rsidRDefault="001A4C67" w:rsidP="001A4C67">
      <w:pPr>
        <w:rPr>
          <w:rFonts w:cstheme="minorHAnsi"/>
        </w:rPr>
      </w:pPr>
    </w:p>
    <w:p w14:paraId="38DC93F5" w14:textId="3983B787" w:rsidR="001A4C67" w:rsidRPr="00B87E0D" w:rsidRDefault="001A4C67" w:rsidP="001A4C67">
      <w:pPr>
        <w:rPr>
          <w:rFonts w:cstheme="minorHAnsi"/>
        </w:rPr>
      </w:pPr>
      <w:r w:rsidRPr="00B87E0D">
        <w:rPr>
          <w:rFonts w:cstheme="minorHAnsi"/>
        </w:rPr>
        <w:t xml:space="preserve">For data enquiries please contact the Statutory and Resource Information </w:t>
      </w:r>
      <w:r w:rsidR="000828FF" w:rsidRPr="00B87E0D">
        <w:rPr>
          <w:rFonts w:cstheme="minorHAnsi"/>
        </w:rPr>
        <w:t>team</w:t>
      </w:r>
    </w:p>
    <w:p w14:paraId="0124E5A4" w14:textId="77777777" w:rsidR="001A4C67" w:rsidRPr="00B87E0D" w:rsidRDefault="001A4C67" w:rsidP="001A4C67">
      <w:pPr>
        <w:rPr>
          <w:rFonts w:cstheme="minorHAnsi"/>
        </w:rPr>
      </w:pPr>
      <w:r w:rsidRPr="00B87E0D">
        <w:rPr>
          <w:rFonts w:cstheme="minorHAnsi"/>
        </w:rPr>
        <w:t xml:space="preserve">Email: </w:t>
      </w:r>
      <w:hyperlink r:id="rId16" w:history="1">
        <w:r w:rsidRPr="00B87E0D">
          <w:rPr>
            <w:rStyle w:val="Hyperlink"/>
            <w:rFonts w:cstheme="minorHAnsi"/>
          </w:rPr>
          <w:t>petdata@dmirs.wa.gov.au</w:t>
        </w:r>
      </w:hyperlink>
    </w:p>
    <w:p w14:paraId="68D375E9" w14:textId="2C9F4BD7" w:rsidR="00717759" w:rsidRPr="00B87E0D" w:rsidRDefault="00717759" w:rsidP="00717759">
      <w:pPr>
        <w:pStyle w:val="BodyText"/>
        <w:rPr>
          <w:rFonts w:cstheme="minorHAnsi"/>
        </w:rPr>
      </w:pPr>
    </w:p>
    <w:p w14:paraId="135F5EF6" w14:textId="77777777" w:rsidR="005823D1" w:rsidRPr="00B87E0D" w:rsidRDefault="005823D1" w:rsidP="00AE2B03">
      <w:pPr>
        <w:pStyle w:val="BodyText"/>
        <w:rPr>
          <w:rFonts w:cstheme="minorHAnsi"/>
        </w:rPr>
      </w:pPr>
    </w:p>
    <w:p w14:paraId="4CCACBBF" w14:textId="77777777" w:rsidR="005823D1" w:rsidRPr="00B87E0D" w:rsidRDefault="005823D1" w:rsidP="0089115D">
      <w:pPr>
        <w:pStyle w:val="BodyText"/>
        <w:rPr>
          <w:rFonts w:cstheme="minorHAnsi"/>
        </w:rPr>
      </w:pPr>
    </w:p>
    <w:p w14:paraId="1AF74A10" w14:textId="77777777" w:rsidR="005823D1" w:rsidRPr="00B87E0D" w:rsidRDefault="005823D1" w:rsidP="0089115D">
      <w:pPr>
        <w:pStyle w:val="BodyText"/>
        <w:rPr>
          <w:rFonts w:cstheme="minorHAnsi"/>
        </w:rPr>
      </w:pPr>
    </w:p>
    <w:p w14:paraId="1BE0FBF7" w14:textId="77777777" w:rsidR="005579F3" w:rsidRPr="00B87E0D" w:rsidRDefault="005579F3">
      <w:pPr>
        <w:spacing w:after="200"/>
        <w:rPr>
          <w:rFonts w:cstheme="minorHAnsi"/>
        </w:rPr>
      </w:pPr>
    </w:p>
    <w:p w14:paraId="212EF665" w14:textId="77777777" w:rsidR="00F42B9C" w:rsidRPr="00B87E0D" w:rsidRDefault="00F42B9C" w:rsidP="0089115D">
      <w:pPr>
        <w:pStyle w:val="BodyText"/>
        <w:rPr>
          <w:rFonts w:cstheme="minorHAnsi"/>
        </w:rPr>
      </w:pPr>
    </w:p>
    <w:sectPr w:rsidR="00F42B9C" w:rsidRPr="00B87E0D" w:rsidSect="005579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BARNETT, Jared" w:date="2019-11-29T10:45:00Z" w:initials="BJ">
    <w:p w14:paraId="2919B1CE" w14:textId="17B28F43" w:rsidR="00717759" w:rsidRDefault="00717759">
      <w:pPr>
        <w:pStyle w:val="CommentText"/>
      </w:pPr>
      <w:r>
        <w:rPr>
          <w:rStyle w:val="CommentReference"/>
        </w:rPr>
        <w:annotationRef/>
      </w:r>
      <w:r w:rsidR="004F3DF8">
        <w:t xml:space="preserve">To links to pdfs/zip files – these are all located on the Transfer drive - </w:t>
      </w:r>
      <w:r w:rsidR="004F3DF8" w:rsidRPr="00A560A4">
        <w:t>W:\TRANSFER\Jared Barnett\2019\AR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19B1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4906" w14:textId="77777777" w:rsidR="00717759" w:rsidRDefault="00717759" w:rsidP="00A4382C">
      <w:pPr>
        <w:spacing w:line="240" w:lineRule="auto"/>
      </w:pPr>
      <w:r>
        <w:separator/>
      </w:r>
    </w:p>
  </w:endnote>
  <w:endnote w:type="continuationSeparator" w:id="0">
    <w:p w14:paraId="2763E3F9" w14:textId="77777777" w:rsidR="00717759" w:rsidRDefault="00717759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10C1" w14:textId="77777777" w:rsidR="00717759" w:rsidRDefault="0071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7C03" w14:textId="3222206C" w:rsidR="005579F3" w:rsidRPr="0075253D" w:rsidRDefault="005579F3" w:rsidP="005579F3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26357F">
      <w:rPr>
        <w:noProof/>
        <w:szCs w:val="16"/>
      </w:rPr>
      <w:t>000372.Jared.BARNETT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CF78C6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CF78C6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-2082586955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For Public Release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0CC4" w14:textId="77777777" w:rsidR="007218E4" w:rsidRPr="005579F3" w:rsidRDefault="00CC388D" w:rsidP="005579F3">
    <w:pPr>
      <w:pStyle w:val="Footer"/>
      <w:ind w:left="-567"/>
    </w:pPr>
    <w:r>
      <w:rPr>
        <w:noProof/>
        <w:lang w:eastAsia="en-AU"/>
      </w:rPr>
      <w:drawing>
        <wp:inline distT="0" distB="0" distL="0" distR="0" wp14:anchorId="5060FFD1" wp14:editId="3442CFE4">
          <wp:extent cx="6524625" cy="470535"/>
          <wp:effectExtent l="0" t="0" r="952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216" cy="47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0279" w14:textId="77777777" w:rsidR="00717759" w:rsidRDefault="00717759" w:rsidP="00A4382C">
      <w:pPr>
        <w:spacing w:line="240" w:lineRule="auto"/>
      </w:pPr>
      <w:r>
        <w:separator/>
      </w:r>
    </w:p>
  </w:footnote>
  <w:footnote w:type="continuationSeparator" w:id="0">
    <w:p w14:paraId="49A31017" w14:textId="77777777" w:rsidR="00717759" w:rsidRDefault="00717759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88BA" w14:textId="77777777" w:rsidR="00717759" w:rsidRDefault="0071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DCB8" w14:textId="77777777" w:rsidR="00717759" w:rsidRDefault="00717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F2A2" w14:textId="77777777" w:rsidR="005579F3" w:rsidRDefault="00CC388D" w:rsidP="006C5B43">
    <w:pPr>
      <w:pStyle w:val="Header"/>
      <w:ind w:left="-851"/>
    </w:pPr>
    <w:r>
      <w:rPr>
        <w:noProof/>
        <w:lang w:eastAsia="en-AU"/>
      </w:rPr>
      <w:drawing>
        <wp:inline distT="0" distB="0" distL="0" distR="0" wp14:anchorId="78C47F7D" wp14:editId="255BDE04">
          <wp:extent cx="6962273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010" cy="10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87335F8"/>
    <w:multiLevelType w:val="hybridMultilevel"/>
    <w:tmpl w:val="06B6D9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024BF3"/>
    <w:multiLevelType w:val="hybridMultilevel"/>
    <w:tmpl w:val="FE9E9BCE"/>
    <w:lvl w:ilvl="0" w:tplc="C4EC0C6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54296972"/>
    <w:multiLevelType w:val="hybridMultilevel"/>
    <w:tmpl w:val="19A63A2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172D"/>
    <w:multiLevelType w:val="multilevel"/>
    <w:tmpl w:val="9A2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80F99"/>
    <w:multiLevelType w:val="hybridMultilevel"/>
    <w:tmpl w:val="0412A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9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11"/>
  </w:num>
  <w:num w:numId="26">
    <w:abstractNumId w:val="1"/>
  </w:num>
  <w:num w:numId="27">
    <w:abstractNumId w:val="12"/>
  </w:num>
  <w:num w:numId="28">
    <w:abstractNumId w:val="8"/>
  </w:num>
  <w:num w:numId="29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NETT, Jared">
    <w15:presenceInfo w15:providerId="AD" w15:userId="S-1-5-21-2548343187-3005953052-3739400866-8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9"/>
    <w:rsid w:val="00005285"/>
    <w:rsid w:val="00030161"/>
    <w:rsid w:val="000628DD"/>
    <w:rsid w:val="00070650"/>
    <w:rsid w:val="00081F4F"/>
    <w:rsid w:val="000828FF"/>
    <w:rsid w:val="00087E7C"/>
    <w:rsid w:val="000D37BF"/>
    <w:rsid w:val="000D6278"/>
    <w:rsid w:val="000F4B54"/>
    <w:rsid w:val="00101A4E"/>
    <w:rsid w:val="00117846"/>
    <w:rsid w:val="00127A81"/>
    <w:rsid w:val="00135B2B"/>
    <w:rsid w:val="00150D6F"/>
    <w:rsid w:val="0015286C"/>
    <w:rsid w:val="00161BAC"/>
    <w:rsid w:val="00166F4F"/>
    <w:rsid w:val="001723E2"/>
    <w:rsid w:val="00175B21"/>
    <w:rsid w:val="00182318"/>
    <w:rsid w:val="001853E7"/>
    <w:rsid w:val="00194D6C"/>
    <w:rsid w:val="001A4C67"/>
    <w:rsid w:val="001C316F"/>
    <w:rsid w:val="001D2EB0"/>
    <w:rsid w:val="001E33F9"/>
    <w:rsid w:val="001E38AF"/>
    <w:rsid w:val="001F1168"/>
    <w:rsid w:val="0020211F"/>
    <w:rsid w:val="0021319C"/>
    <w:rsid w:val="00217729"/>
    <w:rsid w:val="00217BF0"/>
    <w:rsid w:val="0026357F"/>
    <w:rsid w:val="00275EB5"/>
    <w:rsid w:val="002760CB"/>
    <w:rsid w:val="002D4783"/>
    <w:rsid w:val="002E7DD3"/>
    <w:rsid w:val="00306FAF"/>
    <w:rsid w:val="00316310"/>
    <w:rsid w:val="00317B5F"/>
    <w:rsid w:val="00321C39"/>
    <w:rsid w:val="00327D01"/>
    <w:rsid w:val="0033401D"/>
    <w:rsid w:val="00334E55"/>
    <w:rsid w:val="00371FB3"/>
    <w:rsid w:val="00375984"/>
    <w:rsid w:val="0038356A"/>
    <w:rsid w:val="003B68D0"/>
    <w:rsid w:val="003F4681"/>
    <w:rsid w:val="003F68F5"/>
    <w:rsid w:val="00405BFE"/>
    <w:rsid w:val="004108AE"/>
    <w:rsid w:val="00461900"/>
    <w:rsid w:val="00490548"/>
    <w:rsid w:val="004C12D6"/>
    <w:rsid w:val="004C3B9E"/>
    <w:rsid w:val="004D5B8D"/>
    <w:rsid w:val="004F3DF8"/>
    <w:rsid w:val="004F6AB4"/>
    <w:rsid w:val="00502FFE"/>
    <w:rsid w:val="00517B50"/>
    <w:rsid w:val="00521B09"/>
    <w:rsid w:val="00556A44"/>
    <w:rsid w:val="00556CD6"/>
    <w:rsid w:val="005579F3"/>
    <w:rsid w:val="005823D1"/>
    <w:rsid w:val="005C7F45"/>
    <w:rsid w:val="00664B55"/>
    <w:rsid w:val="0069124D"/>
    <w:rsid w:val="006B372C"/>
    <w:rsid w:val="006C5B43"/>
    <w:rsid w:val="006E1101"/>
    <w:rsid w:val="00711DD3"/>
    <w:rsid w:val="00717759"/>
    <w:rsid w:val="007218E4"/>
    <w:rsid w:val="00725843"/>
    <w:rsid w:val="00736097"/>
    <w:rsid w:val="00736B45"/>
    <w:rsid w:val="0075253D"/>
    <w:rsid w:val="007528AA"/>
    <w:rsid w:val="00757A2A"/>
    <w:rsid w:val="007A54B1"/>
    <w:rsid w:val="008565C8"/>
    <w:rsid w:val="00875FE3"/>
    <w:rsid w:val="00884F47"/>
    <w:rsid w:val="0089012F"/>
    <w:rsid w:val="0089115D"/>
    <w:rsid w:val="008A0283"/>
    <w:rsid w:val="008A72AE"/>
    <w:rsid w:val="008D4A12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B0BD9"/>
    <w:rsid w:val="00A30465"/>
    <w:rsid w:val="00A40D7F"/>
    <w:rsid w:val="00A4382C"/>
    <w:rsid w:val="00A663DD"/>
    <w:rsid w:val="00A73213"/>
    <w:rsid w:val="00A768BE"/>
    <w:rsid w:val="00A804F9"/>
    <w:rsid w:val="00A826CA"/>
    <w:rsid w:val="00A865D9"/>
    <w:rsid w:val="00AC5CC9"/>
    <w:rsid w:val="00AD0559"/>
    <w:rsid w:val="00AE2B03"/>
    <w:rsid w:val="00AE6CF0"/>
    <w:rsid w:val="00B4205B"/>
    <w:rsid w:val="00B45BCE"/>
    <w:rsid w:val="00B80F37"/>
    <w:rsid w:val="00B87E0D"/>
    <w:rsid w:val="00B96B1B"/>
    <w:rsid w:val="00BA2C3E"/>
    <w:rsid w:val="00BB241A"/>
    <w:rsid w:val="00BC5B97"/>
    <w:rsid w:val="00BC790D"/>
    <w:rsid w:val="00BD452D"/>
    <w:rsid w:val="00BD7FE2"/>
    <w:rsid w:val="00BE52B1"/>
    <w:rsid w:val="00C013CF"/>
    <w:rsid w:val="00C134ED"/>
    <w:rsid w:val="00C169C6"/>
    <w:rsid w:val="00C17C2B"/>
    <w:rsid w:val="00C524D8"/>
    <w:rsid w:val="00C733B2"/>
    <w:rsid w:val="00C74436"/>
    <w:rsid w:val="00C851DC"/>
    <w:rsid w:val="00C95C39"/>
    <w:rsid w:val="00C97A98"/>
    <w:rsid w:val="00C97E89"/>
    <w:rsid w:val="00CB079B"/>
    <w:rsid w:val="00CB5139"/>
    <w:rsid w:val="00CC388D"/>
    <w:rsid w:val="00CC4376"/>
    <w:rsid w:val="00CC43BA"/>
    <w:rsid w:val="00CC5FB3"/>
    <w:rsid w:val="00CD3552"/>
    <w:rsid w:val="00CF78C6"/>
    <w:rsid w:val="00D016D8"/>
    <w:rsid w:val="00D14F87"/>
    <w:rsid w:val="00D17688"/>
    <w:rsid w:val="00D27E58"/>
    <w:rsid w:val="00D35608"/>
    <w:rsid w:val="00D43849"/>
    <w:rsid w:val="00D5302E"/>
    <w:rsid w:val="00D615D2"/>
    <w:rsid w:val="00D6395F"/>
    <w:rsid w:val="00D71CF0"/>
    <w:rsid w:val="00D8714A"/>
    <w:rsid w:val="00D9127D"/>
    <w:rsid w:val="00D977A8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50209"/>
    <w:rsid w:val="00E800BA"/>
    <w:rsid w:val="00E87942"/>
    <w:rsid w:val="00EB048B"/>
    <w:rsid w:val="00EC095E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828D5"/>
    <w:rsid w:val="00FA164E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4BCD20"/>
  <w15:docId w15:val="{927E07D8-A48C-4C0C-B7EE-B97D679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character" w:styleId="CommentReference">
    <w:name w:val="annotation reference"/>
    <w:basedOn w:val="DefaultParagraphFont"/>
    <w:uiPriority w:val="99"/>
    <w:semiHidden/>
    <w:unhideWhenUsed/>
    <w:rsid w:val="0071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59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etdata@dmirs.wa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petroleum.titles@dmirs.wa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qms.internal.dom/corporate/Templates/DT_ReportNo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000372.Jared.BARNETT</OurDocsDocId>
    <OurDocsVersionCreatedBy xmlns="dce3ed02-b0cd-470d-9119-e5f1a2533a21">MIJBARN</OurDocsVersionCreatedBy>
    <OurDocsIsLocked xmlns="dce3ed02-b0cd-470d-9119-e5f1a2533a21">false</OurDocsIsLocked>
    <OurDocsDocumentType xmlns="dce3ed02-b0cd-470d-9119-e5f1a2533a21">Report</OurDocsDocumentType>
    <OurDocsFileNumbers xmlns="dce3ed02-b0cd-470d-9119-e5f1a2533a21" xsi:nil="true"/>
    <OurDocsLockedOnBehalfOf xmlns="dce3ed02-b0cd-470d-9119-e5f1a2533a21" xsi:nil="true"/>
    <OurDocsDocumentDate xmlns="dce3ed02-b0cd-470d-9119-e5f1a2533a21">2019-11-28T16:00:00+00:00</OurDocsDocumentDate>
    <OurDocsVersionCreatedAt xmlns="dce3ed02-b0cd-470d-9119-e5f1a2533a21">2019-11-29T03:04:58+00:00</OurDocsVersionCreatedAt>
    <OurDocsReleaseClassification xmlns="dce3ed02-b0cd-470d-9119-e5f1a2533a21">For Public Release</OurDocsReleaseClassification>
    <OurDocsTitle xmlns="dce3ed02-b0cd-470d-9119-e5f1a2533a21">AR2019 - Area L19-2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BARNETT, Jared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B3D0-7456-4ACD-8B2E-69F2ACAEA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5860F-8B5C-4FBF-A07D-5B2E5DE571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e3ed02-b0cd-470d-9119-e5f1a2533a2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CB9A029-C067-4D2C-82AE-CCD95AF5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DT_ReportNoCover</Template>
  <TotalTime>0</TotalTime>
  <Pages>3</Pages>
  <Words>353</Words>
  <Characters>1982</Characters>
  <Application>Microsoft Office Word</Application>
  <DocSecurity>0</DocSecurity>
  <Lines>90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AR2019 - Area L19-2</vt:lpstr>
    </vt:vector>
  </TitlesOfParts>
  <Company>Department of Mines, Industry Regulation and Safety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AR2019 - Area L19-2</dc:title>
  <dc:creator>BARNETT, Jared</dc:creator>
  <dc:description>FileNo=&lt;!&gt;</dc:description>
  <cp:lastModifiedBy>BARNETT, Jared</cp:lastModifiedBy>
  <cp:revision>2</cp:revision>
  <cp:lastPrinted>2015-09-24T03:11:00Z</cp:lastPrinted>
  <dcterms:created xsi:type="dcterms:W3CDTF">2019-12-09T01:13:00Z</dcterms:created>
  <dcterms:modified xsi:type="dcterms:W3CDTF">2019-12-09T01:13:00Z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0x0101000AC6246A9CD2FC45B52DC6FEC0F0AAAA0000BFB7748A146749AB50C37C6791420E</vt:lpwstr>
  </property>
</Properties>
</file>