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Mineral exploration: Site operations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59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Safety management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There is a system in place to identify and address hazards associated with site-specific exploration activities (e.g. mapping, sampling, surveying, gridline preparation, costeaning, drilling, downhole logging), and the hazard register is reviewed and amended as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Safe systems of work have been implemented for specific items identified in the hazard register.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 hierarchy of control has been applied to eliminate exploration hazards or reduce the exposure, and reduce reliance on administrative and personal protective clothing and equipment (PPE) controls.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 exploration area has been assessed and hazardous ground conditions delineated and effectively managed.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 camp and associated facilities and amenities should be located to reduce exposure to natural and drilling hazards, and ensure hygienic conditions are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There is an up-to-date contact list for management, supervisors and other relevant persons available on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1.7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A competent person regularly checks all storage and handling systems for dangerous goods and hazardous substances.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Where necessary, appropriate PPE is provided and used to reduce exposure to safety and health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7D75CB" w:rsidRDefault="007D75C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Personnel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All personnel have received adequate information, instruction and training relating to the hazards identified for the site and safe systems of work for the tasks required of them. [see Part 1, 3.1]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Before commencing work, all personnel have been assessed as competent to perform the tasks they have been assigned. [see Part 1, 3.2]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All personnel have received adequate information, instruction and training relating to the risk factors affecting fitness-for-work.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All personnel are assessed as fit-for-work before commencing work.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Any personnel undergoing instruction and training are supervised in such a manner that they are not exposed to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Relevant personnel have been retrained and reassessed whenever systems of work or plant and equipment changed, or new systems of work or plant and equipment were introduced. [see Part 1, 3.3]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2.7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Any personnel undertaking high-risk work have been assessed as competent on each item of plant or equipment they are using, and have the required licence, where applicable. [see Part 1, 3.5]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Personnel are adequately supervised to allow them to carry out their tasks safely. [see Part1, 3.6]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2.9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Records of instruction, training, retraining, assessment or reassessment given are accessible by site personnel, when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7D75CB" w:rsidRDefault="007D75C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Emergency response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 emergency response plan is accessible on site to all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All personnel are familiar with the emergency response plan and their responsibilities. [see Part 1, 4.3]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Emergency communication systems are accessible to all personnel. [see Part1, 4.4]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 communication system is tested and maintained in accordance with the management schedule. [see Part 1, 4.4]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All personnel have been trained in the use of the emergency communication equipment and procedures.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A person qualified in first aid is available at the site at all times when personnel are present. [see Part 1, 4.5]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3.7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Where practicable, a person qualified in appropriate advanced first aid is present or available on call.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3.8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First aid and emergency equipment provided is adequate to respond to the types of incidents that may occur as identified in the hazard register.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 management plan to transport injured personnel to medical treatment is accessible on site to relevant personnel and can be implemented. [see Part 1, 4.6]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3.10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 emergency response contact list, including qualified first aiders, is accessible on site to all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3.11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Fire extinguishers and/or fire suppression systems are provided for all plant and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3.12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Personnel have been trained and assessed in fire prevention and the use of fire-fighting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7D75CB" w:rsidRDefault="007D75C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Isolation and tagging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Isolation and lock-out/tag-out systems are implemented in accordance with the site procedures. [see Part 1, 5.1]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Relevant personnel have been trained and assessed in the use of isolation and the lock-out/tag-out systems. [see Part 1, 5.2]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 xml:space="preserve">Completed OUT OF SERVICE tags are used to warn against the use of plant or equipment </w:t>
                  </w:r>
                  <w:r>
                    <w:lastRenderedPageBreak/>
                    <w:t>that is unsafe to use, may be damaged if used, or is being repaired or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PERSONAL DANGER tags and locks are used on plant or equipment on which work is undertaken.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 effectiveness of the isolation of plant or equipment is tested prior to commencement of work.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7D75CB" w:rsidRDefault="007D75C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Plant and equipment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Plant and equipment are inspected and maintained in accordance with the management schedule. [see Part 1, 7.2 and 8.1]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Records are kept for maintenance of plant and equipment. [see Part 1, 8.8]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Electrical equipment and cables are periodically inspected and tagged or removed from service if unsafe. [see Part 1, 6.2]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Electrical welding equipment is maintained in safe condition. [see Part 1, 6.3]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Pre-start checks are conducted for plant and equipment used on site. [see Part 1, 8.4]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Operational faults are reported in accordance with the site procedures. [see Part 1, 8.5]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5.7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Operational faults are dealt with in a timely manner, based on the risk they present.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5.8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ROPS/FOPS is installed as necessary and maintained. [see Part 1, 7.5]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7D75CB" w:rsidRDefault="007D75CB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Facilities and amenities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 facilities provided for maintenance and storage are appropriate for the tasks undertaken. [see Part 1, 9.1]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 facilities provided for sample handling are designed to eliminate or mitigate hazardous manual tasks.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The plant and equipment maintenance and storage facilities are maintained in good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Fire-fighting and suppression equipment appropriate for the facilities is readily accessible.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Signs are displayed to warn of hazards and the required control measures.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6.6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Dangerous goods and hazardous substances are clearly identified and properly labelled.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6.7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Material safety data sheets are available for substances used at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7D75CB" w:rsidRDefault="005A35A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6.8</w:t>
                  </w:r>
                </w:p>
              </w:tc>
              <w:tc>
                <w:tcPr>
                  <w:tcW w:w="4453" w:type="dxa"/>
                </w:tcPr>
                <w:p w:rsidR="007D75CB" w:rsidRDefault="005A35AF">
                  <w:r>
                    <w:t>Adequate eating and ablution facilities are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7D75CB" w:rsidRDefault="007D75CB"/>
        </w:tc>
      </w:tr>
    </w:tbl>
    <w:p w:rsidR="00052A51" w:rsidRDefault="00052A51"/>
    <w:sectPr w:rsidR="00052A51" w:rsidSect="00DE27A5">
      <w:headerReference w:type="default" r:id="rId11"/>
      <w:footerReference w:type="default" r:id="rId12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5F" w:rsidRPr="006746A8" w:rsidRDefault="00B32775" w:rsidP="006746A8">
    <w:pPr>
      <w:pStyle w:val="Footer"/>
      <w:tabs>
        <w:tab w:val="right" w:pos="14459"/>
      </w:tabs>
    </w:pPr>
    <w:r>
      <w:t>Mineral exploration: Site operations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7169FE">
      <w:rPr>
        <w:noProof/>
      </w:rPr>
      <w:t>1</w:t>
    </w:r>
    <w:r w:rsidR="00B64808" w:rsidRPr="006746A8">
      <w:fldChar w:fldCharType="end"/>
    </w:r>
    <w:r w:rsidR="00B64808" w:rsidRPr="006746A8">
      <w:t xml:space="preserve"> of </w:t>
    </w:r>
    <w:fldSimple w:instr=" NUMPAGES  \* Arabic  \* MERGEFORMAT ">
      <w:r w:rsidR="007169FE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2A51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2133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35AF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169FE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5CB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1CEE48F"/>
  <w15:docId w15:val="{57C4C987-D14B-4E25-B19E-2F31526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975F2-7993-4C9D-83CA-2BDA11DF54B3}">
  <ds:schemaRefs>
    <ds:schemaRef ds:uri="http://purl.org/dc/terms/"/>
    <ds:schemaRef ds:uri="http://schemas.microsoft.com/office/2006/documentManagement/types"/>
    <ds:schemaRef ds:uri="http://schemas.microsoft.com/sharepoint/v3/fields"/>
    <ds:schemaRef ds:uri="e7c7f6fc-0c1f-4db4-bdfb-1d5a5c7fbe5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985F6C-FDF6-4C8C-A39C-C0529C51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673D7FD</Template>
  <TotalTime>0</TotalTime>
  <Pages>6</Pages>
  <Words>982</Words>
  <Characters>5436</Characters>
  <Application>Microsoft Office Word</Application>
  <DocSecurity>0</DocSecurity>
  <Lines>354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Department of Mines, Industry Regulation and Safety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exploration site operations - Audit Template</dc:title>
  <dc:subject>MS - Audit - Template - GENERIC AUDIT TEMPLATE</dc:subject>
  <dc:creator>CHEW, Lindy</dc:creator>
  <cp:keywords>mineral, exploration, audit template, mine safety</cp:keywords>
  <dc:description/>
  <cp:lastModifiedBy>CHEW, Lindy</cp:lastModifiedBy>
  <cp:revision>2</cp:revision>
  <cp:lastPrinted>2016-02-04T01:14:00Z</cp:lastPrinted>
  <dcterms:created xsi:type="dcterms:W3CDTF">2018-02-13T06:13:00Z</dcterms:created>
  <dcterms:modified xsi:type="dcterms:W3CDTF">2018-02-13T06:13:00Z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